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hd w:val="clear" w:fill="FFFFFF"/>
        <w:spacing w:before="288" w:beforeAutospacing="0" w:after="288" w:afterAutospacing="0" w:line="15" w:lineRule="atLeast"/>
        <w:ind w:left="0" w:right="0" w:firstLine="0"/>
        <w:rPr>
          <w:rFonts w:ascii="微软雅黑" w:hAnsi="微软雅黑" w:eastAsia="微软雅黑" w:cs="微软雅黑"/>
          <w:b/>
          <w:bCs/>
          <w:i w:val="0"/>
          <w:iCs w:val="0"/>
          <w:caps w:val="0"/>
          <w:color w:val="121212"/>
          <w:spacing w:val="0"/>
          <w:sz w:val="28"/>
          <w:szCs w:val="28"/>
        </w:rPr>
      </w:pPr>
      <w:r>
        <w:rPr>
          <w:rFonts w:hint="eastAsia" w:ascii="微软雅黑" w:hAnsi="微软雅黑" w:eastAsia="微软雅黑" w:cs="微软雅黑"/>
          <w:b/>
          <w:bCs/>
          <w:i w:val="0"/>
          <w:iCs w:val="0"/>
          <w:caps w:val="0"/>
          <w:color w:val="121212"/>
          <w:spacing w:val="0"/>
          <w:sz w:val="28"/>
          <w:szCs w:val="28"/>
          <w:shd w:val="clear" w:fill="FFFFFF"/>
        </w:rPr>
        <w:t>QSP同款凝胶上样/点样吸头,10ul加长,200ul,国产BIOFOUNT</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5855335" cy="4392295"/>
            <wp:effectExtent l="0" t="0" r="12065" b="1206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855335" cy="4392295"/>
                    </a:xfrm>
                    <a:prstGeom prst="rect">
                      <a:avLst/>
                    </a:prstGeom>
                    <a:noFill/>
                    <a:ln w="9525">
                      <a:noFill/>
                    </a:ln>
                  </pic:spPr>
                </pic:pic>
              </a:graphicData>
            </a:graphic>
          </wp:inline>
        </w:drawing>
      </w:r>
    </w:p>
    <w:p>
      <w:pPr>
        <w:pStyle w:val="4"/>
        <w:keepNext w:val="0"/>
        <w:keepLines w:val="0"/>
        <w:widowControl/>
        <w:suppressLineNumbers w:val="0"/>
        <w:shd w:val="clear" w:fill="FFFFFF"/>
        <w:spacing w:before="0" w:beforeAutospacing="0" w:after="294" w:afterAutospacing="0"/>
        <w:ind w:left="0" w:right="0" w:firstLine="0"/>
        <w:rPr>
          <w:rFonts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b/>
          <w:bCs/>
          <w:i w:val="0"/>
          <w:iCs w:val="0"/>
          <w:caps w:val="0"/>
          <w:color w:val="121212"/>
          <w:spacing w:val="0"/>
          <w:sz w:val="27"/>
          <w:szCs w:val="27"/>
          <w:shd w:val="clear" w:fill="FFFFFF"/>
        </w:rPr>
        <w:t>QSP同款凝胶上样/点样吸头 </w:t>
      </w:r>
      <w:r>
        <w:rPr>
          <w:rFonts w:hint="eastAsia" w:ascii="微软雅黑" w:hAnsi="微软雅黑" w:eastAsia="微软雅黑" w:cs="微软雅黑"/>
          <w:i w:val="0"/>
          <w:iCs w:val="0"/>
          <w:caps w:val="0"/>
          <w:color w:val="121212"/>
          <w:spacing w:val="0"/>
          <w:sz w:val="27"/>
          <w:szCs w:val="27"/>
          <w:shd w:val="clear" w:fill="FFFFFF"/>
        </w:rPr>
        <w:t>顾名思义就是使用标准移液器吸头给丙烯酰胺和琼脂糖凝胶上样的过程漫长乏味。选择使用BIOFOUNT公司生产的专用吸头可以避免损坏您的凝胶，这类吸头更长、末端更细，BIOFOUNT公司生产的专为这些应用而设计。</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287520" cy="5716905"/>
            <wp:effectExtent l="0" t="0" r="10160" b="13335"/>
            <wp:docPr id="10" name="图片 10" descr="微信图片_2021120214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1202144638"/>
                    <pic:cNvPicPr>
                      <a:picLocks noChangeAspect="1"/>
                    </pic:cNvPicPr>
                  </pic:nvPicPr>
                  <pic:blipFill>
                    <a:blip r:embed="rId5"/>
                    <a:stretch>
                      <a:fillRect/>
                    </a:stretch>
                  </pic:blipFill>
                  <pic:spPr>
                    <a:xfrm>
                      <a:off x="0" y="0"/>
                      <a:ext cx="4287520" cy="5716905"/>
                    </a:xfrm>
                    <a:prstGeom prst="rect">
                      <a:avLst/>
                    </a:prstGeom>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10ul加长点样吸头，200ul点样吸头，无菌无酶，BI-10LD，BI-200D。</w:t>
      </w:r>
    </w:p>
    <w:p>
      <w:pPr>
        <w:pStyle w:val="4"/>
        <w:keepNext w:val="0"/>
        <w:keepLines w:val="0"/>
        <w:widowControl/>
        <w:suppressLineNumbers w:val="0"/>
        <w:shd w:val="clear" w:fill="FFFFFF"/>
        <w:ind w:left="0" w:right="0" w:firstLine="0"/>
        <w:rPr>
          <w:rFonts w:hint="eastAsia" w:ascii="微软雅黑" w:hAnsi="微软雅黑" w:eastAsia="微软雅黑" w:cs="微软雅黑"/>
          <w:i w:val="0"/>
          <w:iCs w:val="0"/>
          <w:caps w:val="0"/>
          <w:color w:val="121212"/>
          <w:spacing w:val="0"/>
          <w:sz w:val="27"/>
          <w:szCs w:val="27"/>
        </w:rPr>
      </w:pPr>
    </w:p>
    <w:p>
      <w:pPr>
        <w:keepNext w:val="0"/>
        <w:keepLines w:val="0"/>
        <w:widowControl/>
        <w:suppressLineNumbers w:val="0"/>
        <w:pBdr>
          <w:top w:val="single" w:color="D3D3D3" w:sz="4" w:space="0"/>
          <w:left w:val="none" w:color="auto" w:sz="0" w:space="0"/>
          <w:bottom w:val="none" w:color="auto" w:sz="0" w:space="0"/>
          <w:right w:val="none" w:color="auto" w:sz="0" w:space="0"/>
        </w:pBdr>
        <w:shd w:val="clear" w:fill="FFFFFF"/>
        <w:spacing w:before="0" w:beforeAutospacing="0" w:after="840"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rPr>
        <w:pict>
          <v:rect id="_x0000_i1025" o:spt="1" style="height:1.5pt;width:144pt;" fillcolor="#121212" filled="t" stroked="f" coordsize="21600,21600" o:hr="t" o:hrstd="t" o:hrnoshade="t" o:hrpct="0" o:hralign="center">
            <v:path/>
            <v:fill on="t" focussize="0,0"/>
            <v:stroke on="f"/>
            <v:imagedata o:title=""/>
            <o:lock v:ext="edit"/>
            <w10:wrap type="none"/>
            <w10:anchorlock/>
          </v:rect>
        </w:pic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shd w:val="clear" w:fill="FFFFFF"/>
        </w:rPr>
        <w:t>QSP同款凝胶上样/点样吸头200ul 的平均外径为&lt;0.3 mm，这使它们成为加载测序凝胶或 IEF 管状胶的理想选择。BIOFOUNT凝胶上样吸头在与超微量吸管 (0.5–10 µl) 配合使用时将发挥最大性能，但也可与 Rainin Pipetman 10 和 20 µl 吸管配合使用。主要应用：凝胶点样、蛋白上样，微量精确加样等。</w: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shd w:val="clear" w:fill="FFFFFF"/>
        </w:rPr>
        <w:t>QSP同款凝胶上样/点样吸头200ul 可以轻松地在按 0.75 毫米隔开的垂直板状凝胶反应板之间安装 凝胶上样吸头，同时保留一个大钻孔以供样品快速流动。 模压成形的 200 µl 容量的吸头适合 Rainin Pipetman 20、100 和 200 μl 吸管以及 Eppendorf 20 和 100 µl 吸管。 凝胶上样吸头还提供气溶胶隔件，可防止气载污染和样品交叉污染。</w: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shd w:val="clear" w:fill="FFFFFF"/>
        </w:rPr>
        <w:t>200ul Gel loading tips ideal for agarose and acrylamide gels and SDS PAGE. Ultra Clear Pipette Tips made from 100% Virgin polypropylene. Excellent fit will yield accuracy and precision expected from a high quality pipette tip. Non-Sterile product free of Rnase, Dnase, DNA and Pyrogen.</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271260" cy="3943985"/>
            <wp:effectExtent l="0" t="0" r="7620" b="3175"/>
            <wp:docPr id="11" name="图片 11" descr="200ul凝胶点样吸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0ul凝胶点样吸头"/>
                    <pic:cNvPicPr>
                      <a:picLocks noChangeAspect="1"/>
                    </pic:cNvPicPr>
                  </pic:nvPicPr>
                  <pic:blipFill>
                    <a:blip r:embed="rId6"/>
                    <a:stretch>
                      <a:fillRect/>
                    </a:stretch>
                  </pic:blipFill>
                  <pic:spPr>
                    <a:xfrm>
                      <a:off x="0" y="0"/>
                      <a:ext cx="6271260" cy="3943985"/>
                    </a:xfrm>
                    <a:prstGeom prst="rect">
                      <a:avLst/>
                    </a:prstGeom>
                  </pic:spPr>
                </pic:pic>
              </a:graphicData>
            </a:graphic>
          </wp:inline>
        </w:drawing>
      </w:r>
      <w:r>
        <w:rPr>
          <w:rFonts w:ascii="宋体" w:hAnsi="宋体" w:eastAsia="宋体" w:cs="宋体"/>
          <w:kern w:val="0"/>
          <w:sz w:val="24"/>
          <w:szCs w:val="24"/>
          <w:lang w:val="en-US" w:eastAsia="zh-CN" w:bidi="ar"/>
        </w:rPr>
        <w:t>200ul点样吸头，BI-200D</w:t>
      </w:r>
    </w:p>
    <w:p>
      <w:pPr>
        <w:keepNext w:val="0"/>
        <w:keepLines w:val="0"/>
        <w:widowControl/>
        <w:suppressLineNumbers w:val="0"/>
        <w:pBdr>
          <w:top w:val="single" w:color="D3D3D3" w:sz="4" w:space="0"/>
          <w:left w:val="none" w:color="auto" w:sz="0" w:space="0"/>
          <w:bottom w:val="none" w:color="auto" w:sz="0" w:space="0"/>
          <w:right w:val="none" w:color="auto" w:sz="0" w:space="0"/>
        </w:pBdr>
        <w:shd w:val="clear" w:fill="FFFFFF"/>
        <w:spacing w:before="840" w:beforeAutospacing="0" w:after="840" w:afterAutospacing="0"/>
        <w:ind w:left="0" w:right="0" w:firstLine="0"/>
        <w:rPr>
          <w:rFonts w:hint="eastAsia" w:ascii="微软雅黑" w:hAnsi="微软雅黑" w:eastAsia="微软雅黑" w:cs="微软雅黑"/>
          <w:i w:val="0"/>
          <w:iCs w:val="0"/>
          <w:caps w:val="0"/>
          <w:color w:val="121212"/>
          <w:spacing w:val="0"/>
          <w:sz w:val="27"/>
          <w:szCs w:val="27"/>
        </w:rPr>
      </w:pPr>
      <w:r>
        <w:pict>
          <v:rect id="_x0000_i1026" o:spt="1" style="height:1.5pt;width:144pt;" fillcolor="#121212" filled="t" stroked="f" coordsize="21600,21600" o:hr="t" o:hrstd="t" o:hrnoshade="t" o:hrpct="0" o:hralign="center">
            <v:path/>
            <v:fill on="t" focussize="0,0"/>
            <v:stroke on="f"/>
            <v:imagedata o:title=""/>
            <o:lock v:ext="edit"/>
            <w10:wrap type="none"/>
            <w10:anchorlock/>
          </v:rect>
        </w:pict>
      </w:r>
    </w:p>
    <w:p>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6268720" cy="4701540"/>
            <wp:effectExtent l="0" t="0" r="10160" b="7620"/>
            <wp:docPr id="14" name="图片 14" descr="BI-2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I-200D"/>
                    <pic:cNvPicPr>
                      <a:picLocks noChangeAspect="1"/>
                    </pic:cNvPicPr>
                  </pic:nvPicPr>
                  <pic:blipFill>
                    <a:blip r:embed="rId7"/>
                    <a:stretch>
                      <a:fillRect/>
                    </a:stretch>
                  </pic:blipFill>
                  <pic:spPr>
                    <a:xfrm>
                      <a:off x="0" y="0"/>
                      <a:ext cx="6268720" cy="4701540"/>
                    </a:xfrm>
                    <a:prstGeom prst="rect">
                      <a:avLst/>
                    </a:prstGeom>
                  </pic:spPr>
                </pic:pic>
              </a:graphicData>
            </a:graphic>
          </wp:inline>
        </w:drawing>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b/>
          <w:bCs/>
          <w:i w:val="0"/>
          <w:iCs w:val="0"/>
          <w:caps w:val="0"/>
          <w:color w:val="121212"/>
          <w:spacing w:val="0"/>
          <w:sz w:val="27"/>
          <w:szCs w:val="27"/>
          <w:shd w:val="clear" w:fill="FFFFFF"/>
        </w:rPr>
        <w:t>3、QSP同款凝胶上样/点样吸头 详细说明：</w:t>
      </w:r>
    </w:p>
    <w:tbl>
      <w:tblPr>
        <w:tblStyle w:val="5"/>
        <w:tblW w:w="82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673"/>
        <w:gridCol w:w="66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289" w:hRule="atLeast"/>
        </w:trPr>
        <w:tc>
          <w:tcPr>
            <w:tcW w:w="0" w:type="auto"/>
            <w:tcBorders>
              <w:top w:val="single" w:color="D3D3D3" w:sz="4" w:space="0"/>
              <w:left w:val="single" w:color="D3D3D3" w:sz="4" w:space="0"/>
              <w:bottom w:val="single" w:color="D3D3D3" w:sz="4" w:space="0"/>
              <w:right w:val="single" w:color="D3D3D3" w:sz="4" w:space="0"/>
            </w:tcBorders>
            <w:shd w:val="clear" w:color="auto" w:fill="FFFFFF"/>
            <w:tcMar>
              <w:top w:w="36" w:type="dxa"/>
              <w:left w:w="144" w:type="dxa"/>
              <w:bottom w:w="36" w:type="dxa"/>
              <w:right w:w="144" w:type="dxa"/>
            </w:tcMar>
            <w:vAlign w:val="center"/>
          </w:tcPr>
          <w:p>
            <w:pPr>
              <w:keepNext w:val="0"/>
              <w:keepLines w:val="0"/>
              <w:widowControl/>
              <w:suppressLineNumbers w:val="0"/>
              <w:spacing w:line="288" w:lineRule="atLeast"/>
              <w:jc w:val="left"/>
              <w:rPr>
                <w:rFonts w:hint="eastAsia" w:ascii="微软雅黑" w:hAnsi="微软雅黑" w:eastAsia="微软雅黑" w:cs="微软雅黑"/>
                <w:i w:val="0"/>
                <w:iCs w:val="0"/>
                <w:caps w:val="0"/>
                <w:color w:val="121212"/>
                <w:spacing w:val="0"/>
                <w:sz w:val="18"/>
                <w:szCs w:val="18"/>
              </w:rPr>
            </w:pPr>
            <w:r>
              <w:rPr>
                <w:rFonts w:hint="eastAsia" w:ascii="微软雅黑" w:hAnsi="微软雅黑" w:eastAsia="微软雅黑" w:cs="微软雅黑"/>
                <w:i w:val="0"/>
                <w:iCs w:val="0"/>
                <w:caps w:val="0"/>
                <w:color w:val="121212"/>
                <w:spacing w:val="0"/>
                <w:kern w:val="0"/>
                <w:sz w:val="18"/>
                <w:szCs w:val="18"/>
                <w:lang w:val="en-US" w:eastAsia="zh-CN" w:bidi="ar"/>
              </w:rPr>
              <w:t>For Use With (应用)</w:t>
            </w:r>
          </w:p>
        </w:tc>
        <w:tc>
          <w:tcPr>
            <w:tcW w:w="0" w:type="auto"/>
            <w:tcBorders>
              <w:top w:val="single" w:color="D3D3D3" w:sz="4" w:space="0"/>
              <w:left w:val="single" w:color="D3D3D3" w:sz="4" w:space="0"/>
              <w:bottom w:val="single" w:color="D3D3D3" w:sz="4" w:space="0"/>
              <w:right w:val="single" w:color="D3D3D3" w:sz="4" w:space="0"/>
            </w:tcBorders>
            <w:shd w:val="clear" w:color="auto" w:fill="FFFFFF"/>
            <w:tcMar>
              <w:top w:w="36" w:type="dxa"/>
              <w:left w:w="144" w:type="dxa"/>
              <w:bottom w:w="36" w:type="dxa"/>
              <w:right w:w="144" w:type="dxa"/>
            </w:tcMar>
            <w:vAlign w:val="center"/>
          </w:tcPr>
          <w:p>
            <w:pPr>
              <w:keepNext w:val="0"/>
              <w:keepLines w:val="0"/>
              <w:widowControl/>
              <w:suppressLineNumbers w:val="0"/>
              <w:spacing w:line="288" w:lineRule="atLeast"/>
              <w:jc w:val="left"/>
              <w:rPr>
                <w:rFonts w:hint="eastAsia" w:ascii="微软雅黑" w:hAnsi="微软雅黑" w:eastAsia="微软雅黑" w:cs="微软雅黑"/>
                <w:i w:val="0"/>
                <w:iCs w:val="0"/>
                <w:caps w:val="0"/>
                <w:color w:val="121212"/>
                <w:spacing w:val="0"/>
                <w:sz w:val="18"/>
                <w:szCs w:val="18"/>
              </w:rPr>
            </w:pPr>
            <w:r>
              <w:rPr>
                <w:rFonts w:hint="eastAsia" w:ascii="微软雅黑" w:hAnsi="微软雅黑" w:eastAsia="微软雅黑" w:cs="微软雅黑"/>
                <w:i w:val="0"/>
                <w:iCs w:val="0"/>
                <w:caps w:val="0"/>
                <w:color w:val="121212"/>
                <w:spacing w:val="0"/>
                <w:kern w:val="0"/>
                <w:sz w:val="18"/>
                <w:szCs w:val="18"/>
                <w:lang w:val="en-US" w:eastAsia="zh-CN" w:bidi="ar"/>
              </w:rPr>
              <w:t>1D Gel Electrophoresis, Protein Gel Electrophoresis, Proteins, Expression, Isolation and Analysis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289" w:hRule="atLeast"/>
        </w:trPr>
        <w:tc>
          <w:tcPr>
            <w:tcW w:w="0" w:type="auto"/>
            <w:tcBorders>
              <w:top w:val="single" w:color="D3D3D3" w:sz="4" w:space="0"/>
              <w:left w:val="single" w:color="D3D3D3" w:sz="4" w:space="0"/>
              <w:bottom w:val="single" w:color="D3D3D3" w:sz="4" w:space="0"/>
              <w:right w:val="single" w:color="D3D3D3" w:sz="4" w:space="0"/>
            </w:tcBorders>
            <w:shd w:val="clear" w:color="auto" w:fill="FFFFFF"/>
            <w:tcMar>
              <w:top w:w="36" w:type="dxa"/>
              <w:left w:w="144" w:type="dxa"/>
              <w:bottom w:w="36" w:type="dxa"/>
              <w:right w:w="144" w:type="dxa"/>
            </w:tcMar>
            <w:vAlign w:val="center"/>
          </w:tcPr>
          <w:p>
            <w:pPr>
              <w:keepNext w:val="0"/>
              <w:keepLines w:val="0"/>
              <w:widowControl/>
              <w:suppressLineNumbers w:val="0"/>
              <w:spacing w:line="288" w:lineRule="atLeast"/>
              <w:jc w:val="left"/>
              <w:rPr>
                <w:rFonts w:hint="eastAsia" w:ascii="微软雅黑" w:hAnsi="微软雅黑" w:eastAsia="微软雅黑" w:cs="微软雅黑"/>
                <w:i w:val="0"/>
                <w:iCs w:val="0"/>
                <w:caps w:val="0"/>
                <w:color w:val="121212"/>
                <w:spacing w:val="0"/>
                <w:sz w:val="18"/>
                <w:szCs w:val="18"/>
              </w:rPr>
            </w:pPr>
            <w:r>
              <w:rPr>
                <w:rFonts w:hint="eastAsia" w:ascii="微软雅黑" w:hAnsi="微软雅黑" w:eastAsia="微软雅黑" w:cs="微软雅黑"/>
                <w:i w:val="0"/>
                <w:iCs w:val="0"/>
                <w:caps w:val="0"/>
                <w:color w:val="121212"/>
                <w:spacing w:val="0"/>
                <w:kern w:val="0"/>
                <w:sz w:val="18"/>
                <w:szCs w:val="18"/>
                <w:lang w:val="en-US" w:eastAsia="zh-CN" w:bidi="ar"/>
              </w:rPr>
              <w:t>可使用的设备</w:t>
            </w:r>
          </w:p>
        </w:tc>
        <w:tc>
          <w:tcPr>
            <w:tcW w:w="0" w:type="auto"/>
            <w:tcBorders>
              <w:top w:val="single" w:color="D3D3D3" w:sz="4" w:space="0"/>
              <w:left w:val="single" w:color="D3D3D3" w:sz="4" w:space="0"/>
              <w:bottom w:val="single" w:color="D3D3D3" w:sz="4" w:space="0"/>
              <w:right w:val="single" w:color="D3D3D3" w:sz="4" w:space="0"/>
            </w:tcBorders>
            <w:shd w:val="clear" w:color="auto" w:fill="FFFFFF"/>
            <w:tcMar>
              <w:top w:w="36" w:type="dxa"/>
              <w:left w:w="144" w:type="dxa"/>
              <w:bottom w:w="36" w:type="dxa"/>
              <w:right w:w="144" w:type="dxa"/>
            </w:tcMar>
            <w:vAlign w:val="center"/>
          </w:tcPr>
          <w:p>
            <w:pPr>
              <w:keepNext w:val="0"/>
              <w:keepLines w:val="0"/>
              <w:widowControl/>
              <w:suppressLineNumbers w:val="0"/>
              <w:spacing w:line="288" w:lineRule="atLeast"/>
              <w:jc w:val="left"/>
              <w:rPr>
                <w:rFonts w:hint="eastAsia" w:ascii="微软雅黑" w:hAnsi="微软雅黑" w:eastAsia="微软雅黑" w:cs="微软雅黑"/>
                <w:i w:val="0"/>
                <w:iCs w:val="0"/>
                <w:caps w:val="0"/>
                <w:color w:val="121212"/>
                <w:spacing w:val="0"/>
                <w:sz w:val="18"/>
                <w:szCs w:val="18"/>
              </w:rPr>
            </w:pPr>
            <w:r>
              <w:rPr>
                <w:rFonts w:hint="eastAsia" w:ascii="微软雅黑" w:hAnsi="微软雅黑" w:eastAsia="微软雅黑" w:cs="微软雅黑"/>
                <w:i w:val="0"/>
                <w:iCs w:val="0"/>
                <w:caps w:val="0"/>
                <w:color w:val="121212"/>
                <w:spacing w:val="0"/>
                <w:kern w:val="0"/>
                <w:sz w:val="18"/>
                <w:szCs w:val="18"/>
                <w:lang w:val="en-US" w:eastAsia="zh-CN" w:bidi="ar"/>
              </w:rPr>
              <w:t>通用移液器（艾本德，赛默飞，吉尔森，普兰德等）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9" w:hRule="atLeast"/>
        </w:trPr>
        <w:tc>
          <w:tcPr>
            <w:tcW w:w="0" w:type="auto"/>
            <w:tcBorders>
              <w:top w:val="single" w:color="D3D3D3" w:sz="4" w:space="0"/>
              <w:left w:val="single" w:color="D3D3D3" w:sz="4" w:space="0"/>
              <w:bottom w:val="single" w:color="D3D3D3" w:sz="4" w:space="0"/>
              <w:right w:val="single" w:color="D3D3D3" w:sz="4" w:space="0"/>
            </w:tcBorders>
            <w:shd w:val="clear" w:color="auto" w:fill="FFFFFF"/>
            <w:tcMar>
              <w:top w:w="36" w:type="dxa"/>
              <w:left w:w="144" w:type="dxa"/>
              <w:bottom w:w="36" w:type="dxa"/>
              <w:right w:w="144" w:type="dxa"/>
            </w:tcMar>
            <w:vAlign w:val="center"/>
          </w:tcPr>
          <w:p>
            <w:pPr>
              <w:keepNext w:val="0"/>
              <w:keepLines w:val="0"/>
              <w:widowControl/>
              <w:suppressLineNumbers w:val="0"/>
              <w:spacing w:line="288" w:lineRule="atLeast"/>
              <w:jc w:val="left"/>
              <w:rPr>
                <w:rFonts w:hint="eastAsia" w:ascii="微软雅黑" w:hAnsi="微软雅黑" w:eastAsia="微软雅黑" w:cs="微软雅黑"/>
                <w:i w:val="0"/>
                <w:iCs w:val="0"/>
                <w:caps w:val="0"/>
                <w:color w:val="121212"/>
                <w:spacing w:val="0"/>
                <w:sz w:val="18"/>
                <w:szCs w:val="18"/>
              </w:rPr>
            </w:pPr>
            <w:r>
              <w:rPr>
                <w:rFonts w:hint="eastAsia" w:ascii="微软雅黑" w:hAnsi="微软雅黑" w:eastAsia="微软雅黑" w:cs="微软雅黑"/>
                <w:i w:val="0"/>
                <w:iCs w:val="0"/>
                <w:caps w:val="0"/>
                <w:color w:val="121212"/>
                <w:spacing w:val="0"/>
                <w:kern w:val="0"/>
                <w:sz w:val="18"/>
                <w:szCs w:val="18"/>
                <w:lang w:val="en-US" w:eastAsia="zh-CN" w:bidi="ar"/>
              </w:rPr>
              <w:t>Volume (Metric)</w:t>
            </w:r>
          </w:p>
        </w:tc>
        <w:tc>
          <w:tcPr>
            <w:tcW w:w="0" w:type="auto"/>
            <w:tcBorders>
              <w:top w:val="single" w:color="D3D3D3" w:sz="4" w:space="0"/>
              <w:left w:val="single" w:color="D3D3D3" w:sz="4" w:space="0"/>
              <w:bottom w:val="single" w:color="D3D3D3" w:sz="4" w:space="0"/>
              <w:right w:val="single" w:color="D3D3D3" w:sz="4" w:space="0"/>
            </w:tcBorders>
            <w:shd w:val="clear" w:color="auto" w:fill="FFFFFF"/>
            <w:tcMar>
              <w:top w:w="36" w:type="dxa"/>
              <w:left w:w="144" w:type="dxa"/>
              <w:bottom w:w="36" w:type="dxa"/>
              <w:right w:w="144" w:type="dxa"/>
            </w:tcMar>
            <w:vAlign w:val="center"/>
          </w:tcPr>
          <w:p>
            <w:pPr>
              <w:keepNext w:val="0"/>
              <w:keepLines w:val="0"/>
              <w:widowControl/>
              <w:suppressLineNumbers w:val="0"/>
              <w:spacing w:line="288" w:lineRule="atLeast"/>
              <w:jc w:val="left"/>
              <w:rPr>
                <w:rFonts w:hint="eastAsia" w:ascii="微软雅黑" w:hAnsi="微软雅黑" w:eastAsia="微软雅黑" w:cs="微软雅黑"/>
                <w:i w:val="0"/>
                <w:iCs w:val="0"/>
                <w:caps w:val="0"/>
                <w:color w:val="121212"/>
                <w:spacing w:val="0"/>
                <w:sz w:val="18"/>
                <w:szCs w:val="18"/>
              </w:rPr>
            </w:pPr>
            <w:r>
              <w:rPr>
                <w:rFonts w:hint="eastAsia" w:ascii="微软雅黑" w:hAnsi="微软雅黑" w:eastAsia="微软雅黑" w:cs="微软雅黑"/>
                <w:i w:val="0"/>
                <w:iCs w:val="0"/>
                <w:caps w:val="0"/>
                <w:color w:val="121212"/>
                <w:spacing w:val="0"/>
                <w:kern w:val="0"/>
                <w:sz w:val="18"/>
                <w:szCs w:val="18"/>
                <w:lang w:val="en-US" w:eastAsia="zh-CN" w:bidi="ar"/>
              </w:rPr>
              <w:t>200 µL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9" w:hRule="atLeast"/>
        </w:trPr>
        <w:tc>
          <w:tcPr>
            <w:tcW w:w="0" w:type="auto"/>
            <w:tcBorders>
              <w:top w:val="single" w:color="D3D3D3" w:sz="4" w:space="0"/>
              <w:left w:val="single" w:color="D3D3D3" w:sz="4" w:space="0"/>
              <w:bottom w:val="single" w:color="D3D3D3" w:sz="4" w:space="0"/>
              <w:right w:val="single" w:color="D3D3D3" w:sz="4" w:space="0"/>
            </w:tcBorders>
            <w:shd w:val="clear" w:color="auto" w:fill="FFFFFF"/>
            <w:tcMar>
              <w:top w:w="36" w:type="dxa"/>
              <w:left w:w="144" w:type="dxa"/>
              <w:bottom w:w="36" w:type="dxa"/>
              <w:right w:w="144" w:type="dxa"/>
            </w:tcMar>
            <w:vAlign w:val="center"/>
          </w:tcPr>
          <w:p>
            <w:pPr>
              <w:keepNext w:val="0"/>
              <w:keepLines w:val="0"/>
              <w:widowControl/>
              <w:suppressLineNumbers w:val="0"/>
              <w:spacing w:line="288" w:lineRule="atLeast"/>
              <w:jc w:val="left"/>
              <w:rPr>
                <w:rFonts w:hint="eastAsia" w:ascii="微软雅黑" w:hAnsi="微软雅黑" w:eastAsia="微软雅黑" w:cs="微软雅黑"/>
                <w:i w:val="0"/>
                <w:iCs w:val="0"/>
                <w:caps w:val="0"/>
                <w:color w:val="121212"/>
                <w:spacing w:val="0"/>
                <w:sz w:val="18"/>
                <w:szCs w:val="18"/>
              </w:rPr>
            </w:pPr>
            <w:r>
              <w:rPr>
                <w:rFonts w:hint="eastAsia" w:ascii="微软雅黑" w:hAnsi="微软雅黑" w:eastAsia="微软雅黑" w:cs="微软雅黑"/>
                <w:i w:val="0"/>
                <w:iCs w:val="0"/>
                <w:caps w:val="0"/>
                <w:color w:val="121212"/>
                <w:spacing w:val="0"/>
                <w:kern w:val="0"/>
                <w:sz w:val="18"/>
                <w:szCs w:val="18"/>
                <w:lang w:val="en-US" w:eastAsia="zh-CN" w:bidi="ar"/>
              </w:rPr>
              <w:t>保存条件</w:t>
            </w:r>
          </w:p>
        </w:tc>
        <w:tc>
          <w:tcPr>
            <w:tcW w:w="0" w:type="auto"/>
            <w:tcBorders>
              <w:top w:val="single" w:color="D3D3D3" w:sz="4" w:space="0"/>
              <w:left w:val="single" w:color="D3D3D3" w:sz="4" w:space="0"/>
              <w:bottom w:val="single" w:color="D3D3D3" w:sz="4" w:space="0"/>
              <w:right w:val="single" w:color="D3D3D3" w:sz="4" w:space="0"/>
            </w:tcBorders>
            <w:shd w:val="clear" w:color="auto" w:fill="FFFFFF"/>
            <w:tcMar>
              <w:top w:w="36" w:type="dxa"/>
              <w:left w:w="144" w:type="dxa"/>
              <w:bottom w:w="36" w:type="dxa"/>
              <w:right w:w="144" w:type="dxa"/>
            </w:tcMar>
            <w:vAlign w:val="center"/>
          </w:tcPr>
          <w:p>
            <w:pPr>
              <w:keepNext w:val="0"/>
              <w:keepLines w:val="0"/>
              <w:widowControl/>
              <w:suppressLineNumbers w:val="0"/>
              <w:spacing w:line="288" w:lineRule="atLeast"/>
              <w:jc w:val="left"/>
              <w:rPr>
                <w:rFonts w:hint="eastAsia" w:ascii="微软雅黑" w:hAnsi="微软雅黑" w:eastAsia="微软雅黑" w:cs="微软雅黑"/>
                <w:i w:val="0"/>
                <w:iCs w:val="0"/>
                <w:caps w:val="0"/>
                <w:color w:val="121212"/>
                <w:spacing w:val="0"/>
                <w:sz w:val="18"/>
                <w:szCs w:val="18"/>
              </w:rPr>
            </w:pPr>
            <w:r>
              <w:rPr>
                <w:rFonts w:hint="eastAsia" w:ascii="微软雅黑" w:hAnsi="微软雅黑" w:eastAsia="微软雅黑" w:cs="微软雅黑"/>
                <w:i w:val="0"/>
                <w:iCs w:val="0"/>
                <w:caps w:val="0"/>
                <w:color w:val="121212"/>
                <w:spacing w:val="0"/>
                <w:kern w:val="0"/>
                <w:sz w:val="18"/>
                <w:szCs w:val="18"/>
                <w:lang w:val="en-US" w:eastAsia="zh-CN" w:bidi="ar"/>
              </w:rPr>
              <w:t>阴凉干燥下存储</w:t>
            </w:r>
          </w:p>
        </w:tc>
      </w:tr>
    </w:tbl>
    <w:p>
      <w:pPr>
        <w:keepNext w:val="0"/>
        <w:keepLines w:val="0"/>
        <w:widowControl/>
        <w:suppressLineNumbers w:val="0"/>
        <w:pBdr>
          <w:top w:val="single" w:color="D3D3D3" w:sz="4" w:space="0"/>
          <w:left w:val="none" w:color="auto" w:sz="0" w:space="0"/>
          <w:bottom w:val="none" w:color="auto" w:sz="0" w:space="0"/>
          <w:right w:val="none" w:color="auto" w:sz="0" w:space="0"/>
        </w:pBdr>
        <w:shd w:val="clear" w:fill="FFFFFF"/>
        <w:spacing w:before="840" w:beforeAutospacing="0" w:after="840" w:afterAutospacing="0"/>
        <w:ind w:left="0" w:right="0" w:firstLine="0"/>
        <w:rPr>
          <w:rFonts w:hint="eastAsia" w:ascii="微软雅黑" w:hAnsi="微软雅黑" w:eastAsia="微软雅黑" w:cs="微软雅黑"/>
          <w:i w:val="0"/>
          <w:iCs w:val="0"/>
          <w:caps w:val="0"/>
          <w:color w:val="121212"/>
          <w:spacing w:val="0"/>
          <w:sz w:val="27"/>
          <w:szCs w:val="27"/>
        </w:rPr>
      </w:pPr>
      <w:r>
        <w:rPr>
          <w:sz w:val="24"/>
          <w:szCs w:val="24"/>
        </w:rPr>
        <w:pict>
          <v:rect id="_x0000_i1027" o:spt="1" style="height:1.5pt;width:144pt;" fillcolor="#121212" filled="t" stroked="f" coordsize="21600,21600" o:hr="t" o:hrstd="t" o:hrnoshade="t" o:hrpct="0" o:hralign="center">
            <v:path/>
            <v:fill on="t" focussize="0,0"/>
            <v:stroke on="f"/>
            <v:imagedata o:title=""/>
            <o:lock v:ext="edit"/>
            <w10:wrap type="none"/>
            <w10:anchorlock/>
          </v:rect>
        </w:pic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b/>
          <w:bCs/>
          <w:i w:val="0"/>
          <w:iCs w:val="0"/>
          <w:caps w:val="0"/>
          <w:color w:val="121212"/>
          <w:spacing w:val="0"/>
          <w:sz w:val="27"/>
          <w:szCs w:val="27"/>
          <w:shd w:val="clear" w:fill="FFFFFF"/>
        </w:rPr>
        <w:t>4、QSP同款凝胶上样/点样吸头</w:t>
      </w:r>
      <w:r>
        <w:rPr>
          <w:rFonts w:hint="eastAsia" w:ascii="微软雅黑" w:hAnsi="微软雅黑" w:eastAsia="微软雅黑" w:cs="微软雅黑"/>
          <w:i w:val="0"/>
          <w:iCs w:val="0"/>
          <w:caps w:val="0"/>
          <w:color w:val="121212"/>
          <w:spacing w:val="0"/>
          <w:sz w:val="27"/>
          <w:szCs w:val="27"/>
          <w:shd w:val="clear" w:fill="FFFFFF"/>
        </w:rPr>
        <w:t> </w:t>
      </w:r>
      <w:r>
        <w:rPr>
          <w:rFonts w:hint="eastAsia" w:ascii="微软雅黑" w:hAnsi="微软雅黑" w:eastAsia="微软雅黑" w:cs="微软雅黑"/>
          <w:b/>
          <w:bCs/>
          <w:i w:val="0"/>
          <w:iCs w:val="0"/>
          <w:caps w:val="0"/>
          <w:color w:val="121212"/>
          <w:spacing w:val="0"/>
          <w:sz w:val="27"/>
          <w:szCs w:val="27"/>
          <w:shd w:val="clear" w:fill="FFFFFF"/>
        </w:rPr>
        <w:t>使用技巧：</w: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shd w:val="clear" w:fill="FFFFFF"/>
        </w:rPr>
        <w:t>BIOFOUNT公司提供种类齐全的凝胶上样头，非常适合在处理蛋白质和进行水平凝胶或进行电泳试验过程中上样染料和凝胶。这些凝胶加载吸头的各种不同尺寸、形状和设计可用于各种试验应用过程中。10ul以及200ul凝胶上样头有无菌或非无菌的可供选择，亦可以选择滤芯和不带滤芯凝胶上样吸头，当然为了方便和易用，</w:t>
      </w:r>
      <w:r>
        <w:rPr>
          <w:rFonts w:hint="eastAsia" w:ascii="微软雅黑" w:hAnsi="微软雅黑" w:eastAsia="微软雅黑" w:cs="微软雅黑"/>
          <w:i w:val="0"/>
          <w:iCs w:val="0"/>
          <w:caps w:val="0"/>
          <w:color w:val="121212"/>
          <w:spacing w:val="0"/>
          <w:sz w:val="27"/>
          <w:szCs w:val="27"/>
          <w:shd w:val="clear" w:fill="FFFFFF"/>
          <w:lang w:eastAsia="zh-CN"/>
        </w:rPr>
        <w:t>请</w:t>
      </w:r>
      <w:r>
        <w:rPr>
          <w:rFonts w:hint="eastAsia" w:ascii="微软雅黑" w:hAnsi="微软雅黑" w:eastAsia="微软雅黑" w:cs="微软雅黑"/>
          <w:i w:val="0"/>
          <w:iCs w:val="0"/>
          <w:caps w:val="0"/>
          <w:color w:val="121212"/>
          <w:spacing w:val="0"/>
          <w:sz w:val="27"/>
          <w:szCs w:val="27"/>
          <w:shd w:val="clear" w:fill="FFFFFF"/>
        </w:rPr>
        <w:t>采用盒装凝胶上样吸头。</w:t>
      </w:r>
    </w:p>
    <w:p>
      <w:pPr>
        <w:keepNext w:val="0"/>
        <w:keepLines w:val="0"/>
        <w:widowControl/>
        <w:suppressLineNumbers w:val="0"/>
        <w:pBdr>
          <w:top w:val="single" w:color="D3D3D3" w:sz="4" w:space="0"/>
          <w:left w:val="none" w:color="auto" w:sz="0" w:space="0"/>
          <w:bottom w:val="none" w:color="auto" w:sz="0" w:space="0"/>
          <w:right w:val="none" w:color="auto" w:sz="0" w:space="0"/>
        </w:pBdr>
        <w:shd w:val="clear" w:fill="FFFFFF"/>
        <w:spacing w:before="840" w:beforeAutospacing="0" w:after="840"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rPr>
        <w:pict>
          <v:rect id="_x0000_i1028" o:spt="1" style="height:1.5pt;width:144pt;" fillcolor="#121212" filled="t" stroked="f" coordsize="21600,21600" o:hr="t" o:hrstd="t" o:hrnoshade="t" o:hrpct="0" o:hralign="center">
            <v:path/>
            <v:fill on="t" focussize="0,0"/>
            <v:stroke on="f"/>
            <v:imagedata o:title=""/>
            <o:lock v:ext="edit"/>
            <w10:wrap type="none"/>
            <w10:anchorlock/>
          </v:rect>
        </w:pic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b/>
          <w:bCs/>
          <w:i w:val="0"/>
          <w:iCs w:val="0"/>
          <w:caps w:val="0"/>
          <w:color w:val="121212"/>
          <w:spacing w:val="0"/>
          <w:sz w:val="27"/>
          <w:szCs w:val="27"/>
          <w:shd w:val="clear" w:fill="FFFFFF"/>
        </w:rPr>
        <w:t>5、QSP同款凝胶上样/点样吸头（Gel Loading Tips） 的特点和优点：</w: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shd w:val="clear" w:fill="FFFFFF"/>
        </w:rPr>
        <w:t>※ 凝胶上样吸头的</w:t>
      </w:r>
      <w:r>
        <w:rPr>
          <w:rFonts w:hint="eastAsia" w:ascii="微软雅黑" w:hAnsi="微软雅黑" w:eastAsia="微软雅黑" w:cs="微软雅黑"/>
          <w:i w:val="0"/>
          <w:iCs w:val="0"/>
          <w:caps w:val="0"/>
          <w:color w:val="121212"/>
          <w:spacing w:val="0"/>
          <w:sz w:val="27"/>
          <w:szCs w:val="27"/>
          <w:shd w:val="clear" w:fill="FFFFFF"/>
          <w:lang w:eastAsia="zh-CN"/>
        </w:rPr>
        <w:t>前端</w:t>
      </w:r>
      <w:r>
        <w:rPr>
          <w:rFonts w:hint="eastAsia" w:ascii="微软雅黑" w:hAnsi="微软雅黑" w:eastAsia="微软雅黑" w:cs="微软雅黑"/>
          <w:i w:val="0"/>
          <w:iCs w:val="0"/>
          <w:caps w:val="0"/>
          <w:color w:val="121212"/>
          <w:spacing w:val="0"/>
          <w:sz w:val="27"/>
          <w:szCs w:val="27"/>
          <w:shd w:val="clear" w:fill="FFFFFF"/>
        </w:rPr>
        <w:t>呈现出细长的</w:t>
      </w:r>
      <w:bookmarkStart w:id="0" w:name="_GoBack"/>
      <w:bookmarkEnd w:id="0"/>
      <w:r>
        <w:rPr>
          <w:rFonts w:hint="eastAsia" w:ascii="微软雅黑" w:hAnsi="微软雅黑" w:eastAsia="微软雅黑" w:cs="微软雅黑"/>
          <w:i w:val="0"/>
          <w:iCs w:val="0"/>
          <w:caps w:val="0"/>
          <w:color w:val="121212"/>
          <w:spacing w:val="0"/>
          <w:sz w:val="27"/>
          <w:szCs w:val="27"/>
          <w:shd w:val="clear" w:fill="FFFFFF"/>
        </w:rPr>
        <w:t>特点；</w: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shd w:val="clear" w:fill="FFFFFF"/>
        </w:rPr>
        <w:t>※ 凝胶上样吸头精密度更高；</w: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shd w:val="clear" w:fill="FFFFFF"/>
        </w:rPr>
        <w:t>※ 加载染料和凝胶；</w: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shd w:val="clear" w:fill="FFFFFF"/>
        </w:rPr>
        <w:t>※ 从事蛋白质分析工作；</w: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shd w:val="clear" w:fill="FFFFFF"/>
        </w:rPr>
        <w:t>※ 水平凝胶；</w: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shd w:val="clear" w:fill="FFFFFF"/>
        </w:rPr>
        <w:t>※ 任何类型的电泳。</w: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shd w:val="clear" w:fill="FFFFFF"/>
        </w:rPr>
        <w:t>BIOFOUNT公司可提供无酶、无菌或非无菌产品。</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625975" cy="4625975"/>
            <wp:effectExtent l="0" t="0" r="6985" b="6985"/>
            <wp:docPr id="15" name="图片 15" descr="BI-200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I-200D (2)"/>
                    <pic:cNvPicPr>
                      <a:picLocks noChangeAspect="1"/>
                    </pic:cNvPicPr>
                  </pic:nvPicPr>
                  <pic:blipFill>
                    <a:blip r:embed="rId8"/>
                    <a:stretch>
                      <a:fillRect/>
                    </a:stretch>
                  </pic:blipFill>
                  <pic:spPr>
                    <a:xfrm>
                      <a:off x="0" y="0"/>
                      <a:ext cx="4625975" cy="4625975"/>
                    </a:xfrm>
                    <a:prstGeom prst="rect">
                      <a:avLst/>
                    </a:prstGeom>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200ul点样吸头,盒装, BI-200D-H</w:t>
      </w:r>
    </w:p>
    <w:p>
      <w:pPr>
        <w:pStyle w:val="4"/>
        <w:keepNext w:val="0"/>
        <w:keepLines w:val="0"/>
        <w:widowControl/>
        <w:suppressLineNumbers w:val="0"/>
        <w:shd w:val="clear" w:fill="FFFFFF"/>
        <w:ind w:left="0" w:right="0" w:firstLine="0"/>
        <w:rPr>
          <w:rFonts w:hint="eastAsia" w:ascii="微软雅黑" w:hAnsi="微软雅黑" w:eastAsia="微软雅黑" w:cs="微软雅黑"/>
          <w:i w:val="0"/>
          <w:iCs w:val="0"/>
          <w:caps w:val="0"/>
          <w:color w:val="121212"/>
          <w:spacing w:val="0"/>
          <w:sz w:val="27"/>
          <w:szCs w:val="27"/>
        </w:rPr>
      </w:pP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b/>
          <w:bCs/>
          <w:i w:val="0"/>
          <w:iCs w:val="0"/>
          <w:caps w:val="0"/>
          <w:color w:val="121212"/>
          <w:spacing w:val="0"/>
          <w:sz w:val="27"/>
          <w:szCs w:val="27"/>
          <w:shd w:val="clear" w:fill="FFFFFF"/>
        </w:rPr>
        <w:t>QSP同款凝胶上样/点样吸头</w:t>
      </w:r>
      <w:r>
        <w:rPr>
          <w:rFonts w:hint="eastAsia" w:ascii="微软雅黑" w:hAnsi="微软雅黑" w:eastAsia="微软雅黑" w:cs="微软雅黑"/>
          <w:i w:val="0"/>
          <w:iCs w:val="0"/>
          <w:caps w:val="0"/>
          <w:color w:val="121212"/>
          <w:spacing w:val="0"/>
          <w:sz w:val="27"/>
          <w:szCs w:val="27"/>
          <w:shd w:val="clear" w:fill="FFFFFF"/>
        </w:rPr>
        <w:t>又称为：200ul凝胶上/点吸头, 点样吸头，国产凝胶上样吸头，国产凝胶加样吸头。</w: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shd w:val="clear" w:fill="FFFFFF"/>
        </w:rPr>
        <w:t>性状是透明固体，不溶于水及有机溶剂，需要在干燥阴凉状态下存储。</w: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b/>
          <w:bCs/>
          <w:i w:val="0"/>
          <w:iCs w:val="0"/>
          <w:caps w:val="0"/>
          <w:color w:val="121212"/>
          <w:spacing w:val="0"/>
          <w:sz w:val="27"/>
          <w:szCs w:val="27"/>
          <w:shd w:val="clear" w:fill="FFFFFF"/>
        </w:rPr>
        <w:t>QSP同款凝胶上样/点样吸头200ul </w:t>
      </w:r>
      <w:r>
        <w:rPr>
          <w:rFonts w:hint="eastAsia" w:ascii="微软雅黑" w:hAnsi="微软雅黑" w:eastAsia="微软雅黑" w:cs="微软雅黑"/>
          <w:i w:val="0"/>
          <w:iCs w:val="0"/>
          <w:caps w:val="0"/>
          <w:color w:val="121212"/>
          <w:spacing w:val="0"/>
          <w:sz w:val="27"/>
          <w:szCs w:val="27"/>
          <w:shd w:val="clear" w:fill="FFFFFF"/>
        </w:rPr>
        <w:t>可以轻松地在按 0.75 毫米隔开的垂直板状凝胶反应板之间安装 凝胶上样吸头，同时保留一个大钻孔以供样品快速流动。 模压成形的 200 µl 容量的吸头适合 Rainin Pipetman 20、100 和 200 μl 吸</w:t>
      </w:r>
      <w:r>
        <w:rPr>
          <w:rFonts w:hint="eastAsia" w:ascii="微软雅黑" w:hAnsi="微软雅黑" w:eastAsia="微软雅黑" w:cs="微软雅黑"/>
          <w:i w:val="0"/>
          <w:iCs w:val="0"/>
          <w:caps w:val="0"/>
          <w:color w:val="121212"/>
          <w:spacing w:val="0"/>
          <w:sz w:val="27"/>
          <w:szCs w:val="27"/>
          <w:shd w:val="clear" w:fill="FFFFFF"/>
          <w:lang w:eastAsia="zh-CN"/>
        </w:rPr>
        <w:t>头</w:t>
      </w:r>
      <w:r>
        <w:rPr>
          <w:rFonts w:hint="eastAsia" w:ascii="微软雅黑" w:hAnsi="微软雅黑" w:eastAsia="微软雅黑" w:cs="微软雅黑"/>
          <w:i w:val="0"/>
          <w:iCs w:val="0"/>
          <w:caps w:val="0"/>
          <w:color w:val="121212"/>
          <w:spacing w:val="0"/>
          <w:sz w:val="27"/>
          <w:szCs w:val="27"/>
          <w:shd w:val="clear" w:fill="FFFFFF"/>
        </w:rPr>
        <w:t>以及 Eppendorf 20 和 100 µl 吸</w:t>
      </w:r>
      <w:r>
        <w:rPr>
          <w:rFonts w:hint="eastAsia" w:ascii="微软雅黑" w:hAnsi="微软雅黑" w:eastAsia="微软雅黑" w:cs="微软雅黑"/>
          <w:i w:val="0"/>
          <w:iCs w:val="0"/>
          <w:caps w:val="0"/>
          <w:color w:val="121212"/>
          <w:spacing w:val="0"/>
          <w:sz w:val="27"/>
          <w:szCs w:val="27"/>
          <w:shd w:val="clear" w:fill="FFFFFF"/>
          <w:lang w:eastAsia="zh-CN"/>
        </w:rPr>
        <w:t>头</w:t>
      </w:r>
      <w:r>
        <w:rPr>
          <w:rFonts w:hint="eastAsia" w:ascii="微软雅黑" w:hAnsi="微软雅黑" w:eastAsia="微软雅黑" w:cs="微软雅黑"/>
          <w:i w:val="0"/>
          <w:iCs w:val="0"/>
          <w:caps w:val="0"/>
          <w:color w:val="121212"/>
          <w:spacing w:val="0"/>
          <w:sz w:val="27"/>
          <w:szCs w:val="27"/>
          <w:shd w:val="clear" w:fill="FFFFFF"/>
        </w:rPr>
        <w:t>。 凝胶上样吸头还提供气溶胶隔件，可防止气载污染和样品交叉污染。</w: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shd w:val="clear" w:fill="FFFFFF"/>
        </w:rPr>
        <w:t>Gel loading tips ideal for agarose and acrylamide gels and SDS PAGE. Ultra Clear Pipette Tips made from 100% Virgin polypropylene. Excellent fit will yield accuracy and precision expected from a high quality pipette tip. Non-Sterile product free of Rnase, Dnase, DNA and Pyrogen.</w:t>
      </w:r>
    </w:p>
    <w:p>
      <w:pPr>
        <w:keepNext w:val="0"/>
        <w:keepLines w:val="0"/>
        <w:widowControl/>
        <w:suppressLineNumbers w:val="0"/>
        <w:pBdr>
          <w:top w:val="single" w:color="D3D3D3" w:sz="4" w:space="0"/>
          <w:left w:val="none" w:color="auto" w:sz="0" w:space="0"/>
          <w:bottom w:val="none" w:color="auto" w:sz="0" w:space="0"/>
          <w:right w:val="none" w:color="auto" w:sz="0" w:space="0"/>
        </w:pBdr>
        <w:shd w:val="clear" w:fill="FFFFFF"/>
        <w:spacing w:before="840" w:beforeAutospacing="0" w:after="840"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rPr>
        <w:pict>
          <v:rect id="_x0000_i1029" o:spt="1" style="height:1.5pt;width:144pt;" fillcolor="#121212" filled="t" stroked="f" coordsize="21600,21600" o:hr="t" o:hrstd="t" o:hrnoshade="t" o:hrpct="0" o:hralign="center">
            <v:path/>
            <v:fill on="t" focussize="0,0"/>
            <v:stroke on="f"/>
            <v:imagedata o:title=""/>
            <o:lock v:ext="edit"/>
            <w10:wrap type="none"/>
            <w10:anchorlock/>
          </v:rect>
        </w:pict>
      </w:r>
    </w:p>
    <w:p>
      <w:pPr>
        <w:keepNext w:val="0"/>
        <w:keepLines w:val="0"/>
        <w:widowControl/>
        <w:suppressLineNumbers w:val="0"/>
        <w:jc w:val="left"/>
      </w:pPr>
      <w:r>
        <w:drawing>
          <wp:inline distT="0" distB="0" distL="114300" distR="114300">
            <wp:extent cx="6268720" cy="4701540"/>
            <wp:effectExtent l="0" t="0" r="10160" b="7620"/>
            <wp:docPr id="16" name="图片 16" descr="BI-10LD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I-10LD_副本"/>
                    <pic:cNvPicPr>
                      <a:picLocks noChangeAspect="1"/>
                    </pic:cNvPicPr>
                  </pic:nvPicPr>
                  <pic:blipFill>
                    <a:blip r:embed="rId9"/>
                    <a:stretch>
                      <a:fillRect/>
                    </a:stretch>
                  </pic:blipFill>
                  <pic:spPr>
                    <a:xfrm>
                      <a:off x="0" y="0"/>
                      <a:ext cx="6268720" cy="4701540"/>
                    </a:xfrm>
                    <a:prstGeom prst="rect">
                      <a:avLst/>
                    </a:prstGeom>
                  </pic:spPr>
                </pic:pic>
              </a:graphicData>
            </a:graphic>
          </wp:inline>
        </w:drawing>
      </w:r>
    </w:p>
    <w:p>
      <w:pPr>
        <w:pStyle w:val="3"/>
        <w:keepNext w:val="0"/>
        <w:keepLines w:val="0"/>
        <w:widowControl/>
        <w:suppressLineNumbers w:val="0"/>
        <w:shd w:val="clear" w:fill="FFFFFF"/>
        <w:spacing w:line="18" w:lineRule="atLeast"/>
        <w:ind w:left="0" w:firstLine="0"/>
        <w:rPr>
          <w:rFonts w:hint="eastAsia" w:ascii="微软雅黑" w:hAnsi="微软雅黑" w:eastAsia="微软雅黑" w:cs="微软雅黑"/>
          <w:b/>
          <w:bCs/>
          <w:i w:val="0"/>
          <w:iCs w:val="0"/>
          <w:caps w:val="0"/>
          <w:color w:val="121212"/>
          <w:spacing w:val="0"/>
          <w:sz w:val="23"/>
          <w:szCs w:val="23"/>
        </w:rPr>
      </w:pPr>
      <w:r>
        <w:rPr>
          <w:rFonts w:hint="eastAsia" w:ascii="微软雅黑" w:hAnsi="微软雅黑" w:eastAsia="微软雅黑" w:cs="微软雅黑"/>
          <w:b/>
          <w:bCs/>
          <w:i w:val="0"/>
          <w:iCs w:val="0"/>
          <w:caps w:val="0"/>
          <w:color w:val="121212"/>
          <w:spacing w:val="0"/>
          <w:sz w:val="23"/>
          <w:szCs w:val="23"/>
          <w:shd w:val="clear" w:fill="FFFFFF"/>
        </w:rPr>
        <w:t>6、10ul QSP同款凝胶上样/点样吸头 BI-10LD 产品特点：</w: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shd w:val="clear" w:fill="FFFFFF"/>
        </w:rPr>
        <w:t>QSP同款凝胶上样/点样吸头（标准，圆形）可用于将样品轻松准确地上样至 1.0 mm 和 1.5 mm 凝胶。此款吸头的上样量为 0.1–20 µL。这些吸头不含 RNase/DNase 且不可高温高压灭菌。</w: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shd w:val="clear" w:fill="FFFFFF"/>
        </w:rPr>
        <w:t>① 有圆头可供选择，满足所有客户喜好。</w: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shd w:val="clear" w:fill="FFFFFF"/>
        </w:rPr>
        <w:t>②10 μL短身吸头有散装包装。</w: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shd w:val="clear" w:fill="FFFFFF"/>
        </w:rPr>
        <w:t>③ 按压式吸头盒打开技术，方便单手操作。</w: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shd w:val="clear" w:fill="FFFFFF"/>
        </w:rPr>
        <w:t>④ 低吸附树脂可减少蛋白/核酸样本损失，并将上样量最大化。</w: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shd w:val="clear" w:fill="FFFFFF"/>
        </w:rPr>
        <w:t>⑤ 广泛适用于各种品牌的移液器。</w: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shd w:val="clear" w:fill="FFFFFF"/>
        </w:rPr>
        <w:t>⑥ 标准的96孔吸头布局，便于多通道移液器的使用。</w: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shd w:val="clear" w:fill="FFFFFF"/>
        </w:rPr>
        <w:t>⑦无RNase, DNase, DNA, 和PCR抑制剂的污染。</w: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shd w:val="clear" w:fill="FFFFFF"/>
        </w:rPr>
        <w:t>⑧ 有非无菌以及无菌多种规格可供选择</w:t>
      </w:r>
    </w:p>
    <w:p>
      <w:pPr>
        <w:pStyle w:val="4"/>
        <w:keepNext w:val="0"/>
        <w:keepLines w:val="0"/>
        <w:widowControl/>
        <w:suppressLineNumbers w:val="0"/>
        <w:shd w:val="clear" w:fill="FFFFFF"/>
        <w:spacing w:before="294" w:beforeAutospacing="0" w:after="294" w:afterAutospacing="0"/>
        <w:ind w:left="0" w:right="0" w:firstLine="0"/>
        <w:rPr>
          <w:rFonts w:hint="eastAsia" w:ascii="微软雅黑" w:hAnsi="微软雅黑" w:eastAsia="微软雅黑" w:cs="微软雅黑"/>
          <w:i w:val="0"/>
          <w:iCs w:val="0"/>
          <w:caps w:val="0"/>
          <w:color w:val="121212"/>
          <w:spacing w:val="0"/>
          <w:sz w:val="27"/>
          <w:szCs w:val="27"/>
        </w:rPr>
      </w:pPr>
      <w:r>
        <w:rPr>
          <w:rFonts w:hint="eastAsia" w:ascii="微软雅黑" w:hAnsi="微软雅黑" w:eastAsia="微软雅黑" w:cs="微软雅黑"/>
          <w:i w:val="0"/>
          <w:iCs w:val="0"/>
          <w:caps w:val="0"/>
          <w:color w:val="121212"/>
          <w:spacing w:val="0"/>
          <w:sz w:val="27"/>
          <w:szCs w:val="27"/>
          <w:shd w:val="clear" w:fill="FFFFFF"/>
        </w:rPr>
        <w:t>QSP同款凝胶上样/点样吸头</w:t>
      </w:r>
      <w:r>
        <w:rPr>
          <w:rFonts w:hint="eastAsia" w:ascii="微软雅黑" w:hAnsi="微软雅黑" w:eastAsia="微软雅黑" w:cs="微软雅黑"/>
          <w:b/>
          <w:bCs/>
          <w:i w:val="0"/>
          <w:iCs w:val="0"/>
          <w:caps w:val="0"/>
          <w:color w:val="121212"/>
          <w:spacing w:val="0"/>
          <w:sz w:val="27"/>
          <w:szCs w:val="27"/>
          <w:shd w:val="clear" w:fill="FFFFFF"/>
        </w:rPr>
        <w:t>非常适合在 (&lt;1 mm) 板式凝胶等非常窄的聚丙烯酰胺凝胶内操作样品</w:t>
      </w:r>
      <w:r>
        <w:rPr>
          <w:rFonts w:hint="eastAsia" w:ascii="微软雅黑" w:hAnsi="微软雅黑" w:eastAsia="微软雅黑" w:cs="微软雅黑"/>
          <w:i w:val="0"/>
          <w:iCs w:val="0"/>
          <w:caps w:val="0"/>
          <w:color w:val="121212"/>
          <w:spacing w:val="0"/>
          <w:sz w:val="27"/>
          <w:szCs w:val="27"/>
          <w:shd w:val="clear" w:fill="FFFFFF"/>
        </w:rPr>
        <w:t>。 这种弹性超薄微毛细管吸头为一些应用中的样品加载提供了卓越的精确度，如 DNA 测序和蛋白质电泳。</w:t>
      </w:r>
    </w:p>
    <w:p>
      <w:pPr>
        <w:keepNext w:val="0"/>
        <w:keepLines w:val="0"/>
        <w:widowControl/>
        <w:suppressLineNumbers w:val="0"/>
        <w:jc w:val="left"/>
        <w:rPr>
          <w:rFonts w:hint="eastAsia" w:eastAsia="宋体"/>
          <w:lang w:eastAsia="zh-CN"/>
        </w:rPr>
      </w:pPr>
      <w:r>
        <w:rPr>
          <w:rFonts w:ascii="宋体" w:hAnsi="宋体" w:eastAsia="宋体" w:cs="宋体"/>
          <w:kern w:val="0"/>
          <w:sz w:val="24"/>
          <w:szCs w:val="24"/>
          <w:lang w:val="en-US" w:eastAsia="zh-CN" w:bidi="ar"/>
        </w:rPr>
        <w:drawing>
          <wp:inline distT="0" distB="0" distL="114300" distR="114300">
            <wp:extent cx="6268720" cy="4701540"/>
            <wp:effectExtent l="0" t="0" r="10160" b="7620"/>
            <wp:docPr id="17" name="图片 17" descr="BI-10LD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I-10LD_副本"/>
                    <pic:cNvPicPr>
                      <a:picLocks noChangeAspect="1"/>
                    </pic:cNvPicPr>
                  </pic:nvPicPr>
                  <pic:blipFill>
                    <a:blip r:embed="rId9"/>
                    <a:stretch>
                      <a:fillRect/>
                    </a:stretch>
                  </pic:blipFill>
                  <pic:spPr>
                    <a:xfrm>
                      <a:off x="0" y="0"/>
                      <a:ext cx="6268720" cy="4701540"/>
                    </a:xfrm>
                    <a:prstGeom prst="rect">
                      <a:avLst/>
                    </a:prstGeom>
                  </pic:spPr>
                </pic:pic>
              </a:graphicData>
            </a:graphic>
          </wp:inline>
        </w:drawing>
      </w:r>
      <w:r>
        <w:rPr>
          <w:rFonts w:ascii="宋体" w:hAnsi="宋体" w:eastAsia="宋体" w:cs="宋体"/>
          <w:kern w:val="0"/>
          <w:sz w:val="24"/>
          <w:szCs w:val="24"/>
          <w:lang w:val="en-US" w:eastAsia="zh-CN" w:bidi="ar"/>
        </w:rPr>
        <w:drawing>
          <wp:inline distT="0" distB="0" distL="114300" distR="114300">
            <wp:extent cx="6268720" cy="4701540"/>
            <wp:effectExtent l="0" t="0" r="10160" b="7620"/>
            <wp:docPr id="18" name="图片 18" descr="BI-10LD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I-10LDX-H"/>
                    <pic:cNvPicPr>
                      <a:picLocks noChangeAspect="1"/>
                    </pic:cNvPicPr>
                  </pic:nvPicPr>
                  <pic:blipFill>
                    <a:blip r:embed="rId10"/>
                    <a:stretch>
                      <a:fillRect/>
                    </a:stretch>
                  </pic:blipFill>
                  <pic:spPr>
                    <a:xfrm>
                      <a:off x="0" y="0"/>
                      <a:ext cx="6268720" cy="4701540"/>
                    </a:xfrm>
                    <a:prstGeom prst="rect">
                      <a:avLst/>
                    </a:prstGeom>
                  </pic:spPr>
                </pic:pic>
              </a:graphicData>
            </a:graphic>
          </wp:inline>
        </w:drawing>
      </w:r>
      <w:r>
        <w:rPr>
          <w:rFonts w:hint="eastAsia" w:eastAsia="宋体"/>
          <w:lang w:eastAsia="zh-CN"/>
        </w:rPr>
        <w:drawing>
          <wp:inline distT="0" distB="0" distL="114300" distR="114300">
            <wp:extent cx="6272530" cy="2229485"/>
            <wp:effectExtent l="0" t="0" r="6350" b="10795"/>
            <wp:docPr id="20" name="图片 20" descr="点样吸头目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点样吸头目录"/>
                    <pic:cNvPicPr>
                      <a:picLocks noChangeAspect="1"/>
                    </pic:cNvPicPr>
                  </pic:nvPicPr>
                  <pic:blipFill>
                    <a:blip r:embed="rId11"/>
                    <a:stretch>
                      <a:fillRect/>
                    </a:stretch>
                  </pic:blipFill>
                  <pic:spPr>
                    <a:xfrm>
                      <a:off x="0" y="0"/>
                      <a:ext cx="6272530" cy="2229485"/>
                    </a:xfrm>
                    <a:prstGeom prst="rect">
                      <a:avLst/>
                    </a:prstGeom>
                  </pic:spPr>
                </pic:pic>
              </a:graphicData>
            </a:graphic>
          </wp:inline>
        </w:drawing>
      </w:r>
    </w:p>
    <w:p>
      <w:pPr>
        <w:pStyle w:val="4"/>
        <w:keepNext w:val="0"/>
        <w:keepLines w:val="0"/>
        <w:widowControl/>
        <w:suppressLineNumbers w:val="0"/>
        <w:shd w:val="clear" w:fill="FFFFFF"/>
        <w:spacing w:before="294" w:beforeAutospacing="0" w:after="0" w:afterAutospacing="0"/>
        <w:ind w:left="0" w:right="0" w:firstLine="0"/>
        <w:rPr>
          <w:rFonts w:hint="eastAsia" w:ascii="微软雅黑" w:hAnsi="微软雅黑" w:eastAsia="微软雅黑" w:cs="微软雅黑"/>
          <w:i w:val="0"/>
          <w:iCs w:val="0"/>
          <w:caps w:val="0"/>
          <w:color w:val="121212"/>
          <w:spacing w:val="0"/>
          <w:sz w:val="27"/>
          <w:szCs w:val="27"/>
          <w:shd w:val="clear" w:fill="FFFFFF"/>
          <w:lang w:eastAsia="zh-CN"/>
        </w:rPr>
      </w:pPr>
      <w:r>
        <w:rPr>
          <w:rFonts w:hint="eastAsia" w:ascii="微软雅黑" w:hAnsi="微软雅黑" w:eastAsia="微软雅黑" w:cs="微软雅黑"/>
          <w:i w:val="0"/>
          <w:iCs w:val="0"/>
          <w:caps w:val="0"/>
          <w:color w:val="121212"/>
          <w:spacing w:val="0"/>
          <w:sz w:val="27"/>
          <w:szCs w:val="27"/>
          <w:shd w:val="clear" w:fill="FFFFFF"/>
        </w:rPr>
        <w:t>欢迎广大科研院所、医院、高校、生物公司的使用与试用</w:t>
      </w:r>
      <w:r>
        <w:rPr>
          <w:rFonts w:hint="eastAsia" w:ascii="微软雅黑" w:hAnsi="微软雅黑" w:eastAsia="微软雅黑" w:cs="微软雅黑"/>
          <w:i w:val="0"/>
          <w:iCs w:val="0"/>
          <w:caps w:val="0"/>
          <w:color w:val="121212"/>
          <w:spacing w:val="0"/>
          <w:sz w:val="27"/>
          <w:szCs w:val="27"/>
          <w:shd w:val="clear" w:fill="FFFFFF"/>
          <w:lang w:eastAsia="zh-CN"/>
        </w:rPr>
        <w:t>。</w:t>
      </w:r>
    </w:p>
    <w:p>
      <w:pPr>
        <w:pStyle w:val="4"/>
        <w:keepNext w:val="0"/>
        <w:keepLines w:val="0"/>
        <w:widowControl/>
        <w:suppressLineNumbers w:val="0"/>
        <w:shd w:val="clear" w:fill="FFFFFF"/>
        <w:spacing w:before="294" w:beforeAutospacing="0" w:after="0" w:afterAutospacing="0"/>
        <w:ind w:left="0" w:right="0" w:firstLine="0"/>
        <w:rPr>
          <w:rFonts w:hint="eastAsia" w:ascii="微软雅黑" w:hAnsi="微软雅黑" w:eastAsia="微软雅黑" w:cs="微软雅黑"/>
          <w:i w:val="0"/>
          <w:iCs w:val="0"/>
          <w:caps w:val="0"/>
          <w:color w:val="121212"/>
          <w:spacing w:val="0"/>
          <w:sz w:val="27"/>
          <w:szCs w:val="27"/>
          <w:shd w:val="clear" w:fill="FFFFFF"/>
          <w:lang w:eastAsia="zh-CN"/>
        </w:rPr>
      </w:pPr>
      <w:r>
        <w:rPr>
          <w:rFonts w:hint="eastAsia" w:ascii="微软雅黑" w:hAnsi="微软雅黑" w:eastAsia="微软雅黑" w:cs="微软雅黑"/>
          <w:i w:val="0"/>
          <w:iCs w:val="0"/>
          <w:caps w:val="0"/>
          <w:color w:val="121212"/>
          <w:spacing w:val="0"/>
          <w:sz w:val="27"/>
          <w:szCs w:val="27"/>
          <w:shd w:val="clear" w:fill="FFFFFF"/>
          <w:lang w:eastAsia="zh-CN"/>
        </w:rPr>
        <w:t>好用不贵，范德中国造。</w:t>
      </w:r>
    </w:p>
    <w:p>
      <w:pPr>
        <w:rPr>
          <w:rFonts w:ascii="宋体" w:hAnsi="宋体" w:eastAsia="宋体" w:cs="宋体"/>
          <w:sz w:val="24"/>
          <w:szCs w:val="24"/>
        </w:rPr>
      </w:pPr>
    </w:p>
    <w:sectPr>
      <w:pgSz w:w="11906" w:h="16838"/>
      <w:pgMar w:top="1440" w:right="1066" w:bottom="1440" w:left="9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49E35B2"/>
    <w:rsid w:val="26B17632"/>
    <w:rsid w:val="3C645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45</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2022-01-06T02:03:00Z</dcterms:created>
  <dc:creator>Administrator</dc:creator>
  <cp:lastModifiedBy>Administrator</cp:lastModifiedBy>
  <dcterms:modified xsi:type="dcterms:W3CDTF">2022-01-25T09:23:15Z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3CB15731EF5D4AECB95BC7AB48BCBEED</vt:lpwstr>
  </property>
</Properties>
</file>